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851"/>
        <w:gridCol w:w="912"/>
        <w:gridCol w:w="960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Neurochirurgia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V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0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1,2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54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z zakresu anatomii i fizjologii i patofizjologii.</w:t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54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Zapoznanie studentów z problematyką nadciśnienia śródczaszkowego. Przekazanie wiedzy o teoretycznych podstawach i sposobie postępowania z ofiarami ciężkich urazów czaszkowo mózgowych na miejscu zdarzenia i w transporcie. Zapoznanie z zagadnieniami z zakresu chorób naczyniowych mózgowia. Zapoznanie z problematyką guzów śródczaszkowych. Nauczenie praktycznych umiejętności oceny ciężkości stanu chorych w stanach nagłych w neurochirurgii i neurotraumatologii.</w:t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54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analiza tekstów z dyskusją, praca w grupach, analiza przypadków klinicznych, dyskusja.</w:t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54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802" w:hRule="atLeast"/>
        </w:trPr>
        <w:tc>
          <w:tcPr>
            <w:tcW w:w="272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37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C.W37 przyczyny, objawy, zasady diagnozowania i postępowania terapeutycznego w bólach głowy i chorobach naczyniowych mózgu, w szczególności w udarze mózgu oraz padaczce;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802" w:hRule="atLeast"/>
        </w:trPr>
        <w:tc>
          <w:tcPr>
            <w:tcW w:w="272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C.W38 przyczyny, objawy, zasady diagnozowania i postępowania terapeutycznego w zakażeniach układu nerwowego, w szczególności w zapaleniu opon mózgowo- -rdzeniowych;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02" w:hRule="atLeast"/>
        </w:trPr>
        <w:tc>
          <w:tcPr>
            <w:tcW w:w="272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C.W40 rodzaje badań obrazowych oraz obraz radiologiczny podstawowych chorób;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10" w:hRule="atLeast"/>
        </w:trPr>
        <w:tc>
          <w:tcPr>
            <w:tcW w:w="272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C.W104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zasady wysuwania podejrzenia i rozpoznawania śmierci mózgu;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3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C.W105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podstawowe techniki obrazowe;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3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C.W106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03" w:hRule="atLeast"/>
        </w:trPr>
        <w:tc>
          <w:tcPr>
            <w:tcW w:w="272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3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70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C.U8. oceni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ć stan świadomości pacjenta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552" w:hRule="atLeast"/>
        </w:trPr>
        <w:tc>
          <w:tcPr>
            <w:tcW w:w="272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70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C.U9. układać pacjenta w pozycji właściwej dla rodzaju choroby lub odniesionych obrażeń ciała;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38" w:hRule="atLeast"/>
        </w:trPr>
        <w:tc>
          <w:tcPr>
            <w:tcW w:w="272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70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C.U17. oceni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ć stan neurologiczny pacjenta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90" w:hRule="atLeast"/>
        </w:trPr>
        <w:tc>
          <w:tcPr>
            <w:tcW w:w="272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700" w:leader="none"/>
              </w:tabs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C.U18. monitorować stan pacjenta metodami nieinwazyjnymi;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3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48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oceniać nagłe zagrożenia neurologiczne u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67" w:hRule="atLeast"/>
        </w:trPr>
        <w:tc>
          <w:tcPr>
            <w:tcW w:w="272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bookmarkStart w:id="0" w:name="__DdeLink__1287_3779644279"/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  <w:bookmarkEnd w:id="0"/>
          </w:p>
        </w:tc>
        <w:tc>
          <w:tcPr>
            <w:tcW w:w="663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792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3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44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3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36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3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54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Nadciśnienie śródczaszkowe - przyczyny, patofizjologia, postępowanie i leczenie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Krwotoki śródczaszkowe, ze szczególnym uwzględnieniem krwiaków pourazowych - podział, obraz radiologiczny, sposoby postępowania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Wady naczyniowe mózgu- tętniaki i naczyniaki. Krwotok podpapjęczynówkowy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Guzy śródczaszkowe - objawy ogólne i ogniskowe.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Metody oceny stanu świadomości i ciężkości stanu w chorobach OUN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Postępowanie z chorym po ciężkim urazie czaszkowo-mózgowym.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Ocena stanu świadomości i ciężkości stanu chorego po urazie mózgu.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Ocena stanu chorego po krwotoku podpajęczynówkowym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Praktyczne aspekty postępowania z chorym z nadciśnieniem śródczaszkowym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Wywiad i badanie chorego z guzem śródczaszkowym.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Krwawienie śródczaszkowe - badanie chorego.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Badania radiologiczne w neurochirurgii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Chirurgiczne leczenie chorób OUN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Zapobieganie urazom głowy i innym chorobom OUN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Rola pierwszej pomocy w ostatecznym wyniku leczenia chorób OUN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489" w:left="514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Maksymowicz W. Neurochirurgia w zarysie. Wydawnictwo Lekarskie PZWL 1999.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489" w:left="514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Głowacki J., Marek Z. Urazy czaszki i mózgu. Krakowskie Wydawnictwo Medyczne 2000.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489" w:left="514"/>
              <w:contextualSpacing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cs="TimesNewRoman" w:ascii="TimesNewRoman" w:hAnsi="TimesNewRoman"/>
                <w:sz w:val="20"/>
                <w:szCs w:val="20"/>
              </w:rPr>
              <w:t>Ząbek M. Zarys neurochirurgii. PZWL 1999.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Bone I, Lindsay K.W., Kozubski W.: Neurologia i neurochirurgia. Elsevier Urban&amp;Partner, Wrocław rok wydania 2013, dodruk 2017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cs="TimesNewRoman" w:ascii="TimesNewRoman" w:hAnsi="TimesNewRoman"/>
                <w:sz w:val="20"/>
                <w:szCs w:val="20"/>
              </w:rPr>
              <w:t>Curie David G. Postępowanie w urazach głowy. Alfa-medica press 1994.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NewRoman"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Application>LibreOffice/25.8.5.2$Windows_X86_64 LibreOffice_project/9c8b85f387cc00a89945a79c9e6239f32e450ac2</Application>
  <AppVersion>15.0000</AppVersion>
  <DocSecurity>0</DocSecurity>
  <Pages>3</Pages>
  <Words>1105</Words>
  <Characters>7767</Characters>
  <CharactersWithSpaces>8703</CharactersWithSpaces>
  <Paragraphs>185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2026-04-22T19:35:55Z</dcterms:modified>
  <cp:revision>546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